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D89C9" w14:textId="77777777" w:rsidR="00EE03E1" w:rsidRDefault="00C066C4" w:rsidP="00EE03E1">
      <w:pPr>
        <w:ind w:left="-567" w:right="-567"/>
        <w:jc w:val="both"/>
        <w:rPr>
          <w:rFonts w:ascii="Abadi" w:hAnsi="Abadi"/>
          <w:color w:val="C00000"/>
          <w:sz w:val="40"/>
          <w:szCs w:val="40"/>
        </w:rPr>
      </w:pPr>
      <w:bookmarkStart w:id="0" w:name="_Hlk20520985"/>
      <w:bookmarkEnd w:id="0"/>
      <w:r w:rsidRPr="00C066C4">
        <w:rPr>
          <w:color w:val="0000FF"/>
          <w:sz w:val="18"/>
          <w:szCs w:val="18"/>
        </w:rPr>
        <w:t xml:space="preserve">Les éditions </w:t>
      </w:r>
      <w:r>
        <w:rPr>
          <w:color w:val="0000FF"/>
          <w:sz w:val="18"/>
          <w:szCs w:val="18"/>
        </w:rPr>
        <w:tab/>
      </w:r>
      <w:r>
        <w:rPr>
          <w:color w:val="0000FF"/>
          <w:sz w:val="18"/>
          <w:szCs w:val="18"/>
        </w:rPr>
        <w:tab/>
      </w:r>
      <w:r>
        <w:rPr>
          <w:color w:val="0000FF"/>
          <w:sz w:val="18"/>
          <w:szCs w:val="18"/>
        </w:rPr>
        <w:tab/>
      </w:r>
      <w:r>
        <w:rPr>
          <w:color w:val="0000FF"/>
          <w:sz w:val="18"/>
          <w:szCs w:val="18"/>
        </w:rPr>
        <w:tab/>
      </w:r>
      <w:r>
        <w:rPr>
          <w:color w:val="0000FF"/>
          <w:sz w:val="18"/>
          <w:szCs w:val="18"/>
        </w:rPr>
        <w:tab/>
      </w:r>
      <w:r>
        <w:rPr>
          <w:color w:val="0000FF"/>
          <w:sz w:val="18"/>
          <w:szCs w:val="18"/>
        </w:rPr>
        <w:tab/>
      </w:r>
      <w:r>
        <w:rPr>
          <w:rFonts w:ascii="Abadi" w:hAnsi="Abadi"/>
          <w:color w:val="C00000"/>
          <w:sz w:val="40"/>
          <w:szCs w:val="40"/>
        </w:rPr>
        <w:t xml:space="preserve"> </w:t>
      </w:r>
    </w:p>
    <w:p w14:paraId="3EE512A8" w14:textId="591518D0" w:rsidR="00C066C4" w:rsidRDefault="00C066C4" w:rsidP="00EE03E1">
      <w:pPr>
        <w:ind w:left="-567" w:right="-567"/>
        <w:jc w:val="both"/>
        <w:rPr>
          <w:rFonts w:asciiTheme="majorHAnsi" w:hAnsiTheme="majorHAnsi"/>
          <w:b/>
          <w:sz w:val="22"/>
          <w:szCs w:val="22"/>
        </w:rPr>
      </w:pPr>
      <w:r w:rsidRPr="00FC66B5">
        <w:rPr>
          <w:color w:val="0000FF"/>
          <w:sz w:val="40"/>
          <w:szCs w:val="40"/>
        </w:rPr>
        <w:t xml:space="preserve">Qatifa </w:t>
      </w:r>
      <w:r w:rsidRPr="00FC66B5">
        <w:rPr>
          <w:rFonts w:asciiTheme="majorHAnsi" w:hAnsiTheme="majorHAnsi"/>
          <w:b/>
          <w:sz w:val="22"/>
          <w:szCs w:val="22"/>
        </w:rPr>
        <w:t xml:space="preserve">10 Allée Christophe Colomb -  93130 Noisy-le Sec, </w:t>
      </w:r>
      <w:r w:rsidR="00EE03E1">
        <w:rPr>
          <w:rFonts w:asciiTheme="majorHAnsi" w:hAnsiTheme="majorHAnsi"/>
          <w:b/>
          <w:sz w:val="22"/>
          <w:szCs w:val="22"/>
        </w:rPr>
        <w:t>France</w:t>
      </w:r>
    </w:p>
    <w:p w14:paraId="0F6217DB" w14:textId="4E6F427C" w:rsidR="00C066C4" w:rsidRPr="00EE03E1" w:rsidRDefault="00EE03E1" w:rsidP="00EE03E1">
      <w:pPr>
        <w:spacing w:line="276" w:lineRule="auto"/>
        <w:ind w:left="-567" w:right="-567"/>
        <w:jc w:val="right"/>
        <w:rPr>
          <w:rFonts w:ascii="Garamond" w:hAnsi="Garamond" w:cs="Arial"/>
          <w:b/>
          <w:bCs/>
          <w:sz w:val="48"/>
          <w:szCs w:val="48"/>
        </w:rPr>
      </w:pPr>
      <w:r w:rsidRPr="00EE03E1">
        <w:rPr>
          <w:rFonts w:ascii="Abadi" w:hAnsi="Abadi"/>
          <w:color w:val="C00000"/>
          <w:sz w:val="48"/>
          <w:szCs w:val="48"/>
        </w:rPr>
        <w:t xml:space="preserve">A paraître bientôt    </w:t>
      </w:r>
    </w:p>
    <w:p w14:paraId="474B52FD" w14:textId="77777777" w:rsidR="00EE03E1" w:rsidRDefault="00C066C4" w:rsidP="00EE03E1">
      <w:pPr>
        <w:spacing w:line="276" w:lineRule="auto"/>
        <w:ind w:left="-567" w:right="-567"/>
        <w:jc w:val="right"/>
        <w:rPr>
          <w:rFonts w:ascii="Garamond" w:hAnsi="Garamond" w:cs="Arial"/>
          <w:b/>
          <w:bCs/>
          <w:sz w:val="36"/>
          <w:szCs w:val="36"/>
        </w:rPr>
      </w:pPr>
      <w:r w:rsidRPr="00FD1F57">
        <w:rPr>
          <w:rFonts w:ascii="Garamond" w:hAnsi="Garamond" w:cs="Arial"/>
          <w:b/>
          <w:bCs/>
          <w:sz w:val="36"/>
          <w:szCs w:val="36"/>
        </w:rPr>
        <w:t>AGRICULTURE ET PAYSANNERIE EN ALGÉRIE</w:t>
      </w:r>
    </w:p>
    <w:p w14:paraId="2EBB5868" w14:textId="77777777" w:rsidR="00EE03E1" w:rsidRDefault="00C066C4" w:rsidP="00EE03E1">
      <w:pPr>
        <w:ind w:left="-567" w:right="-567"/>
        <w:jc w:val="right"/>
        <w:rPr>
          <w:rFonts w:ascii="Garamond" w:hAnsi="Garamond" w:cs="Arial"/>
          <w:b/>
          <w:bCs/>
          <w:sz w:val="36"/>
          <w:szCs w:val="36"/>
        </w:rPr>
      </w:pPr>
      <w:r w:rsidRPr="00C066C4">
        <w:rPr>
          <w:rFonts w:ascii="Garamond" w:hAnsi="Garamond" w:cs="Arial"/>
          <w:b/>
          <w:bCs/>
          <w:sz w:val="26"/>
          <w:szCs w:val="26"/>
        </w:rPr>
        <w:t>De la période coloniale aux politiques agricoles et rurales d’aujourd’hui</w:t>
      </w:r>
    </w:p>
    <w:p w14:paraId="3A871477" w14:textId="52E6D442" w:rsidR="00C066C4" w:rsidRDefault="00C066C4" w:rsidP="00EE03E1">
      <w:pPr>
        <w:ind w:left="-567" w:right="-567"/>
        <w:jc w:val="right"/>
        <w:rPr>
          <w:rFonts w:ascii="Garamond" w:hAnsi="Garamond" w:cs="Arial"/>
          <w:b/>
          <w:bCs/>
          <w:sz w:val="36"/>
          <w:szCs w:val="36"/>
        </w:rPr>
      </w:pPr>
      <w:r w:rsidRPr="00FC66B5">
        <w:rPr>
          <w:rFonts w:ascii="Garamond" w:hAnsi="Garamond" w:cs="Arial"/>
          <w:b/>
          <w:bCs/>
        </w:rPr>
        <w:t>Omar BESSAOUD</w:t>
      </w:r>
    </w:p>
    <w:p w14:paraId="54BF730D" w14:textId="77777777" w:rsidR="00EE03E1" w:rsidRPr="00EE03E1" w:rsidRDefault="00EE03E1" w:rsidP="00EE03E1">
      <w:pPr>
        <w:tabs>
          <w:tab w:val="left" w:pos="-720"/>
        </w:tabs>
        <w:ind w:left="-567" w:right="-567" w:firstLine="284"/>
        <w:jc w:val="both"/>
        <w:rPr>
          <w:rFonts w:ascii="Garamond" w:hAnsi="Garamond" w:cs="Footlight MT Light"/>
          <w:spacing w:val="-3"/>
          <w:sz w:val="16"/>
          <w:szCs w:val="16"/>
        </w:rPr>
      </w:pPr>
    </w:p>
    <w:p w14:paraId="67E65CD7" w14:textId="1640F338" w:rsidR="00EE03E1" w:rsidRDefault="00C066C4" w:rsidP="00EE03E1">
      <w:pPr>
        <w:tabs>
          <w:tab w:val="left" w:pos="-720"/>
        </w:tabs>
        <w:ind w:left="-284" w:right="-567" w:firstLine="284"/>
        <w:jc w:val="both"/>
        <w:rPr>
          <w:rFonts w:ascii="Garamond" w:hAnsi="Garamond" w:cs="Footlight MT Light"/>
          <w:spacing w:val="-3"/>
          <w:sz w:val="22"/>
          <w:szCs w:val="22"/>
        </w:rPr>
      </w:pPr>
      <w:r w:rsidRPr="00FC66B5">
        <w:rPr>
          <w:rFonts w:ascii="Garamond" w:hAnsi="Garamond" w:cs="Footlight MT Light"/>
          <w:spacing w:val="-3"/>
          <w:sz w:val="22"/>
          <w:szCs w:val="22"/>
        </w:rPr>
        <w:t>Cet ouvrage aborde des thèmes cruciaux et des problématiques qui émergent ces derniers mois dans les débats publics, au sein des associations et des divers cercles et think tank nationaux (sécurité alimentaire du pays, compétitivité de l’agriculture, effets du changement climatique, foncier rural…).</w:t>
      </w:r>
    </w:p>
    <w:p w14:paraId="6A19254A" w14:textId="0441B5C1" w:rsidR="00C066C4" w:rsidRPr="00FC66B5" w:rsidRDefault="00C066C4" w:rsidP="00EE03E1">
      <w:pPr>
        <w:tabs>
          <w:tab w:val="left" w:pos="-720"/>
        </w:tabs>
        <w:ind w:left="-284" w:right="-567" w:firstLine="284"/>
        <w:jc w:val="both"/>
        <w:rPr>
          <w:rFonts w:ascii="Garamond" w:hAnsi="Garamond" w:cs="Footlight MT Light"/>
          <w:spacing w:val="-3"/>
          <w:sz w:val="22"/>
          <w:szCs w:val="22"/>
        </w:rPr>
      </w:pPr>
      <w:r w:rsidRPr="00FC66B5">
        <w:rPr>
          <w:rFonts w:ascii="Garamond" w:hAnsi="Garamond" w:cs="Footlight MT Light"/>
          <w:spacing w:val="-3"/>
          <w:sz w:val="22"/>
          <w:szCs w:val="22"/>
        </w:rPr>
        <w:t>L’histoire coloniale de la paysannerie et des communautés rurales décrit et analyse les bouleversements fonciers à l’origine du chamboulement des anciennes formes d’organisation de la société rurale et de la décomposition des structures tribales dans l’Algérie du XIXème</w:t>
      </w:r>
      <w:r w:rsidRPr="00FC66B5">
        <w:rPr>
          <w:rFonts w:ascii="Garamond" w:hAnsi="Garamond" w:cs="Footlight MT Light"/>
          <w:spacing w:val="-3"/>
          <w:sz w:val="22"/>
          <w:szCs w:val="22"/>
          <w:vertAlign w:val="superscript"/>
        </w:rPr>
        <w:t xml:space="preserve"> </w:t>
      </w:r>
      <w:r w:rsidRPr="00FC66B5">
        <w:rPr>
          <w:rFonts w:ascii="Garamond" w:hAnsi="Garamond" w:cs="Footlight MT Light"/>
          <w:spacing w:val="-3"/>
          <w:sz w:val="22"/>
          <w:szCs w:val="22"/>
        </w:rPr>
        <w:t xml:space="preserve">siècle. </w:t>
      </w:r>
    </w:p>
    <w:p w14:paraId="7E0D53E3" w14:textId="17E8C4AC" w:rsidR="00C066C4" w:rsidRPr="00FC66B5" w:rsidRDefault="00C066C4" w:rsidP="00EE03E1">
      <w:pPr>
        <w:tabs>
          <w:tab w:val="left" w:pos="-720"/>
        </w:tabs>
        <w:ind w:left="-284" w:right="-567" w:firstLine="284"/>
        <w:jc w:val="both"/>
        <w:rPr>
          <w:rFonts w:ascii="Garamond" w:hAnsi="Garamond" w:cs="Footlight MT Light"/>
          <w:spacing w:val="-3"/>
          <w:sz w:val="22"/>
          <w:szCs w:val="22"/>
        </w:rPr>
      </w:pPr>
      <w:r w:rsidRPr="00FC66B5">
        <w:rPr>
          <w:rFonts w:ascii="Garamond" w:hAnsi="Garamond" w:cs="Footlight MT Light"/>
          <w:spacing w:val="-3"/>
          <w:sz w:val="22"/>
          <w:szCs w:val="22"/>
        </w:rPr>
        <w:t xml:space="preserve">Pour </w:t>
      </w:r>
      <w:r w:rsidR="00FC66B5">
        <w:rPr>
          <w:rFonts w:ascii="Garamond" w:hAnsi="Garamond" w:cs="Footlight MT Light"/>
          <w:spacing w:val="-3"/>
          <w:sz w:val="22"/>
          <w:szCs w:val="22"/>
        </w:rPr>
        <w:t xml:space="preserve">la </w:t>
      </w:r>
      <w:r w:rsidR="00FC66B5" w:rsidRPr="00FC66B5">
        <w:rPr>
          <w:rFonts w:ascii="Garamond" w:hAnsi="Garamond" w:cs="Footlight MT Light"/>
          <w:spacing w:val="-3"/>
          <w:sz w:val="22"/>
          <w:szCs w:val="22"/>
        </w:rPr>
        <w:t xml:space="preserve">période historique </w:t>
      </w:r>
      <w:r w:rsidRPr="00FC66B5">
        <w:rPr>
          <w:rFonts w:ascii="Garamond" w:hAnsi="Garamond" w:cs="Footlight MT Light"/>
          <w:spacing w:val="-3"/>
          <w:sz w:val="22"/>
          <w:szCs w:val="22"/>
        </w:rPr>
        <w:t xml:space="preserve">(1960 et 1970), marquée par l’Autogestion et la Révolution Agraire, l’auteur </w:t>
      </w:r>
      <w:r w:rsidRPr="00FC66B5">
        <w:rPr>
          <w:rFonts w:ascii="Garamond" w:hAnsi="Garamond"/>
          <w:sz w:val="22"/>
          <w:szCs w:val="22"/>
        </w:rPr>
        <w:t>traite de la question des structures agraires et  des évolutions de la paysannerie algérienne ainsi que des politiques publiques agricoles qui s’y rattachent.</w:t>
      </w:r>
      <w:r w:rsidRPr="00FC66B5">
        <w:rPr>
          <w:rFonts w:ascii="Garamond" w:hAnsi="Garamond" w:cs="Footlight MT Light"/>
          <w:spacing w:val="-3"/>
          <w:sz w:val="22"/>
          <w:szCs w:val="22"/>
        </w:rPr>
        <w:t xml:space="preserve"> Dans un foisonnement d’écrits et d’enquêtes, </w:t>
      </w:r>
      <w:r w:rsidR="00FC66B5">
        <w:rPr>
          <w:rFonts w:ascii="Garamond" w:hAnsi="Garamond" w:cs="Footlight MT Light"/>
          <w:spacing w:val="-3"/>
          <w:sz w:val="22"/>
          <w:szCs w:val="22"/>
        </w:rPr>
        <w:t xml:space="preserve">l’auteur </w:t>
      </w:r>
      <w:r w:rsidRPr="00FC66B5">
        <w:rPr>
          <w:rFonts w:ascii="Garamond" w:hAnsi="Garamond" w:cs="Footlight MT Light"/>
          <w:spacing w:val="-3"/>
          <w:sz w:val="22"/>
          <w:szCs w:val="22"/>
        </w:rPr>
        <w:t>nous invite</w:t>
      </w:r>
      <w:r w:rsidRPr="00FC66B5">
        <w:rPr>
          <w:rFonts w:ascii="Garamond" w:hAnsi="Garamond" w:cs="Footlight MT Light"/>
          <w:color w:val="C00000"/>
          <w:spacing w:val="-3"/>
          <w:sz w:val="22"/>
          <w:szCs w:val="22"/>
        </w:rPr>
        <w:t xml:space="preserve"> </w:t>
      </w:r>
      <w:r w:rsidRPr="00FC66B5">
        <w:rPr>
          <w:rFonts w:ascii="Garamond" w:hAnsi="Garamond" w:cs="Footlight MT Light"/>
          <w:spacing w:val="-3"/>
          <w:sz w:val="22"/>
          <w:szCs w:val="22"/>
        </w:rPr>
        <w:t>à une lecture contextualisée de la RA et une évaluation objective de cette mesure, objet de nombreuses controverses.</w:t>
      </w:r>
      <w:r w:rsidR="00FC66B5">
        <w:rPr>
          <w:rFonts w:ascii="Garamond" w:hAnsi="Garamond" w:cs="Footlight MT Light"/>
          <w:spacing w:val="-3"/>
          <w:sz w:val="22"/>
          <w:szCs w:val="22"/>
        </w:rPr>
        <w:t xml:space="preserve"> Il </w:t>
      </w:r>
      <w:r w:rsidRPr="00FC66B5">
        <w:rPr>
          <w:rFonts w:ascii="Garamond" w:hAnsi="Garamond" w:cs="Footlight MT Light"/>
          <w:spacing w:val="-3"/>
          <w:sz w:val="22"/>
          <w:szCs w:val="22"/>
        </w:rPr>
        <w:t xml:space="preserve">aborde </w:t>
      </w:r>
      <w:r w:rsidR="00FC66B5">
        <w:rPr>
          <w:rFonts w:ascii="Garamond" w:hAnsi="Garamond" w:cs="Footlight MT Light"/>
          <w:spacing w:val="-3"/>
          <w:sz w:val="22"/>
          <w:szCs w:val="22"/>
        </w:rPr>
        <w:t>enfin</w:t>
      </w:r>
      <w:r w:rsidRPr="00FC66B5">
        <w:rPr>
          <w:rFonts w:ascii="Garamond" w:hAnsi="Garamond" w:cs="Footlight MT Light"/>
          <w:spacing w:val="-3"/>
          <w:sz w:val="22"/>
          <w:szCs w:val="22"/>
        </w:rPr>
        <w:t xml:space="preserve"> les politiques agricoles et rurales des années 2000-2018</w:t>
      </w:r>
      <w:r w:rsidRPr="00FC66B5">
        <w:rPr>
          <w:rFonts w:ascii="Garamond" w:hAnsi="Garamond" w:cs="Footlight MT Light"/>
          <w:color w:val="C00000"/>
          <w:spacing w:val="-3"/>
          <w:sz w:val="22"/>
          <w:szCs w:val="22"/>
        </w:rPr>
        <w:t xml:space="preserve"> </w:t>
      </w:r>
      <w:r w:rsidRPr="00FC66B5">
        <w:rPr>
          <w:rFonts w:ascii="Garamond" w:hAnsi="Garamond" w:cs="Footlight MT Light"/>
          <w:spacing w:val="-3"/>
          <w:sz w:val="22"/>
          <w:szCs w:val="22"/>
        </w:rPr>
        <w:t>puis les transformations qui affectent les rapports sociaux dans les campagnes. Il s’agit là d’un véritable bilan des résultats des politiques agricoles et rurales et qui engagent des réflexions sur des questions plus actuelles : celles des formes sociales d’organisation dans l’agriculture</w:t>
      </w:r>
      <w:r w:rsidRPr="00FC66B5">
        <w:rPr>
          <w:rFonts w:ascii="Garamond" w:hAnsi="Garamond" w:cs="Footlight MT Light"/>
          <w:color w:val="C00000"/>
          <w:spacing w:val="-3"/>
          <w:sz w:val="22"/>
          <w:szCs w:val="22"/>
        </w:rPr>
        <w:t xml:space="preserve">, </w:t>
      </w:r>
      <w:r w:rsidRPr="00FC66B5">
        <w:rPr>
          <w:rFonts w:ascii="Garamond" w:hAnsi="Garamond" w:cs="Footlight MT Light"/>
          <w:spacing w:val="-3"/>
          <w:sz w:val="22"/>
          <w:szCs w:val="22"/>
        </w:rPr>
        <w:t xml:space="preserve">des choix techniques pour assurer la durabilité des ressources naturelles, de l’emploi et de la sécurité alimentaire du pays. </w:t>
      </w:r>
    </w:p>
    <w:p w14:paraId="30709DCD" w14:textId="68B400A6" w:rsidR="00C066C4" w:rsidRDefault="00C066C4" w:rsidP="00EE03E1">
      <w:pPr>
        <w:tabs>
          <w:tab w:val="left" w:pos="-720"/>
        </w:tabs>
        <w:ind w:left="-284" w:right="-567" w:firstLine="284"/>
        <w:jc w:val="both"/>
        <w:rPr>
          <w:rFonts w:ascii="Garamond" w:hAnsi="Garamond" w:cs="Footlight MT Light"/>
          <w:spacing w:val="-3"/>
          <w:sz w:val="22"/>
          <w:szCs w:val="22"/>
        </w:rPr>
      </w:pPr>
      <w:r w:rsidRPr="00FC66B5">
        <w:rPr>
          <w:rFonts w:ascii="Garamond" w:hAnsi="Garamond" w:cs="Footlight MT Light"/>
          <w:spacing w:val="-3"/>
          <w:sz w:val="22"/>
          <w:szCs w:val="22"/>
        </w:rPr>
        <w:t>L’ouvrage résume un parcours de recherche de plus de 40 ans</w:t>
      </w:r>
      <w:r w:rsidRPr="00FC66B5">
        <w:rPr>
          <w:rFonts w:ascii="Garamond" w:hAnsi="Garamond" w:cs="Footlight MT Light"/>
          <w:color w:val="C00000"/>
          <w:spacing w:val="-3"/>
          <w:sz w:val="22"/>
          <w:szCs w:val="22"/>
        </w:rPr>
        <w:t xml:space="preserve"> </w:t>
      </w:r>
      <w:r w:rsidRPr="00FC66B5">
        <w:rPr>
          <w:rFonts w:ascii="Garamond" w:hAnsi="Garamond" w:cs="Footlight MT Light"/>
          <w:spacing w:val="-3"/>
          <w:sz w:val="22"/>
          <w:szCs w:val="22"/>
        </w:rPr>
        <w:t>consacré aux questions de l’agriculture et de la paysannerie. Les cadres de références théoriques et l’approche pluridisciplinaire que l’auteur mobilise dans ses écrits, se conjuguent avec une passion nourrie de ses relations avec le monde de l’agriculture</w:t>
      </w:r>
      <w:r w:rsidR="00FC66B5">
        <w:rPr>
          <w:rFonts w:ascii="Garamond" w:hAnsi="Garamond" w:cs="Footlight MT Light"/>
          <w:spacing w:val="-3"/>
          <w:sz w:val="22"/>
          <w:szCs w:val="22"/>
        </w:rPr>
        <w:t xml:space="preserve">. </w:t>
      </w:r>
      <w:r w:rsidRPr="00FC66B5">
        <w:rPr>
          <w:rFonts w:ascii="Garamond" w:hAnsi="Garamond" w:cs="Footlight MT Light"/>
          <w:spacing w:val="-3"/>
          <w:sz w:val="22"/>
          <w:szCs w:val="22"/>
        </w:rPr>
        <w:t>Il exprime un engagement citoyen dans la promotion d’une agriculture durable, la réhabilitation de la paysannerie et  la défense du monde rural.</w:t>
      </w:r>
    </w:p>
    <w:p w14:paraId="6854AC47" w14:textId="77777777" w:rsidR="00E279B0" w:rsidRPr="00C501D5" w:rsidRDefault="00E279B0" w:rsidP="00E279B0">
      <w:pPr>
        <w:rPr>
          <w:sz w:val="16"/>
          <w:szCs w:val="16"/>
        </w:rPr>
      </w:pPr>
    </w:p>
    <w:tbl>
      <w:tblPr>
        <w:tblStyle w:val="Grilledutableau"/>
        <w:tblW w:w="0" w:type="auto"/>
        <w:tblLook w:val="04A0" w:firstRow="1" w:lastRow="0" w:firstColumn="1" w:lastColumn="0" w:noHBand="0" w:noVBand="1"/>
      </w:tblPr>
      <w:tblGrid>
        <w:gridCol w:w="7480"/>
        <w:gridCol w:w="1576"/>
      </w:tblGrid>
      <w:tr w:rsidR="00E279B0" w14:paraId="21935045" w14:textId="77777777" w:rsidTr="00F21E8F">
        <w:tc>
          <w:tcPr>
            <w:tcW w:w="7621" w:type="dxa"/>
          </w:tcPr>
          <w:p w14:paraId="5C4264B0" w14:textId="69E2D8B4" w:rsidR="00E279B0" w:rsidRPr="005D329C" w:rsidRDefault="005D329C" w:rsidP="005D329C">
            <w:pPr>
              <w:spacing w:before="100" w:beforeAutospacing="1" w:after="100" w:afterAutospacing="1"/>
              <w:ind w:right="142"/>
              <w:rPr>
                <w:rFonts w:ascii="Garamond" w:hAnsi="Garamond"/>
                <w:sz w:val="22"/>
                <w:szCs w:val="22"/>
              </w:rPr>
            </w:pPr>
            <w:r w:rsidRPr="005D329C">
              <w:rPr>
                <w:rFonts w:ascii="Garamond" w:hAnsi="Garamond"/>
                <w:sz w:val="22"/>
                <w:szCs w:val="22"/>
              </w:rPr>
              <w:t xml:space="preserve">Omar Bessaoud est économiste agricole. Spécialiste  des politiques publiques agricoles et rurales, il est docteur en économie et diplômé d’études politiques. Il a enseigné à l’Université d’Alger (1975-1993) et a occupé le poste d’enseignant-chercheur et d’administrateur scientifique principal au CIHEAM-Institut agronomique méditerranéen de Montpellier (1994-2017). Il est depuis janvier 2018, membre correspondant associé de l’Académie d’Agriculture de France. </w:t>
            </w:r>
          </w:p>
        </w:tc>
        <w:tc>
          <w:tcPr>
            <w:tcW w:w="1585" w:type="dxa"/>
          </w:tcPr>
          <w:p w14:paraId="7A1D88FA" w14:textId="5A79BC8E" w:rsidR="00E279B0" w:rsidRDefault="005D329C" w:rsidP="00F21E8F">
            <w:r>
              <w:rPr>
                <w:noProof/>
              </w:rPr>
              <w:drawing>
                <wp:inline distT="0" distB="0" distL="0" distR="0" wp14:anchorId="0B438555" wp14:editId="32045B95">
                  <wp:extent cx="617613" cy="869297"/>
                  <wp:effectExtent l="0" t="0" r="0" b="7620"/>
                  <wp:docPr id="4" name="Image 4" descr="C:\Users\bessaoud\Desktop\4c0aac0d-56a2-4efe-ba83-668e2dce29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ssaoud\Desktop\4c0aac0d-56a2-4efe-ba83-668e2dce29c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2891" cy="904876"/>
                          </a:xfrm>
                          <a:prstGeom prst="rect">
                            <a:avLst/>
                          </a:prstGeom>
                          <a:noFill/>
                          <a:ln>
                            <a:noFill/>
                          </a:ln>
                        </pic:spPr>
                      </pic:pic>
                    </a:graphicData>
                  </a:graphic>
                </wp:inline>
              </w:drawing>
            </w:r>
          </w:p>
          <w:p w14:paraId="5A1CE53E" w14:textId="77777777" w:rsidR="00E279B0" w:rsidRDefault="00E279B0" w:rsidP="00F21E8F"/>
        </w:tc>
      </w:tr>
    </w:tbl>
    <w:p w14:paraId="0C7E828B" w14:textId="33B9E9B9" w:rsidR="00E279B0" w:rsidRDefault="00E279B0" w:rsidP="00B05264">
      <w:pPr>
        <w:jc w:val="both"/>
        <w:rPr>
          <w:rFonts w:asciiTheme="majorHAnsi" w:eastAsia="Times New Roman" w:hAnsiTheme="majorHAnsi" w:cs="Arial"/>
          <w:color w:val="000000"/>
          <w:sz w:val="20"/>
          <w:szCs w:val="20"/>
        </w:rPr>
      </w:pPr>
      <w:r>
        <w:rPr>
          <w:rFonts w:asciiTheme="majorHAnsi" w:eastAsia="Times New Roman" w:hAnsiTheme="majorHAnsi" w:cs="Arial"/>
          <w:color w:val="000000"/>
          <w:sz w:val="20"/>
          <w:szCs w:val="20"/>
        </w:rPr>
        <w:t>-----------------------------------------</w:t>
      </w:r>
      <w:r w:rsidR="00B05264">
        <w:rPr>
          <w:rFonts w:asciiTheme="majorHAnsi" w:eastAsia="Times New Roman" w:hAnsiTheme="majorHAnsi" w:cs="Arial"/>
          <w:color w:val="000000"/>
          <w:sz w:val="20"/>
          <w:szCs w:val="20"/>
        </w:rPr>
        <w:t>-----------------------------------------------------------------------------------------------------------</w:t>
      </w:r>
    </w:p>
    <w:p w14:paraId="6FA9542A" w14:textId="6581692F" w:rsidR="00B05264" w:rsidRPr="00B4320F" w:rsidRDefault="00B05264" w:rsidP="00B05264">
      <w:pPr>
        <w:pStyle w:val="Titre3"/>
        <w:jc w:val="center"/>
        <w:rPr>
          <w:b w:val="0"/>
          <w:bCs w:val="0"/>
          <w:color w:val="0070C0"/>
          <w:sz w:val="32"/>
          <w:szCs w:val="32"/>
        </w:rPr>
      </w:pPr>
      <w:r w:rsidRPr="00B4320F">
        <w:rPr>
          <w:color w:val="0000FF"/>
          <w:sz w:val="32"/>
          <w:szCs w:val="32"/>
        </w:rPr>
        <w:t xml:space="preserve">Les Éditions Qatifa - </w:t>
      </w:r>
      <w:r w:rsidR="00E279B0" w:rsidRPr="00B4320F">
        <w:rPr>
          <w:color w:val="0000FF"/>
          <w:sz w:val="32"/>
          <w:szCs w:val="32"/>
        </w:rPr>
        <w:t xml:space="preserve">Bulletin de souscription </w:t>
      </w:r>
      <w:r w:rsidRPr="00B4320F">
        <w:rPr>
          <w:rFonts w:cs="Arial"/>
          <w:color w:val="0000FF"/>
          <w:sz w:val="32"/>
          <w:szCs w:val="32"/>
        </w:rPr>
        <w:t>/</w:t>
      </w:r>
      <w:r w:rsidR="00E279B0" w:rsidRPr="00B4320F">
        <w:rPr>
          <w:rFonts w:cs="Arial"/>
          <w:color w:val="0000FF"/>
          <w:sz w:val="32"/>
          <w:szCs w:val="32"/>
        </w:rPr>
        <w:t xml:space="preserve"> précommande</w:t>
      </w:r>
    </w:p>
    <w:p w14:paraId="151E63FE" w14:textId="48D1B27A" w:rsidR="00DD7EEA" w:rsidRPr="00DD7EEA" w:rsidRDefault="00DD7EEA" w:rsidP="00DD7EEA">
      <w:pPr>
        <w:ind w:left="-567" w:right="-567"/>
        <w:jc w:val="both"/>
        <w:rPr>
          <w:rFonts w:asciiTheme="majorHAnsi" w:hAnsiTheme="majorHAnsi" w:cs="Arial"/>
          <w:b/>
          <w:bCs/>
          <w:sz w:val="22"/>
          <w:szCs w:val="22"/>
        </w:rPr>
      </w:pPr>
      <w:r w:rsidRPr="00DD7EEA">
        <w:rPr>
          <w:rFonts w:asciiTheme="majorHAnsi" w:hAnsiTheme="majorHAnsi" w:cs="Arial"/>
          <w:b/>
          <w:bCs/>
          <w:sz w:val="22"/>
          <w:szCs w:val="22"/>
        </w:rPr>
        <w:t>AGRICULTURE ET PAYSANNERIE EN ALGÉRIE, De la période coloniale aux politiques agricoles et rurales d’aujourd’hui</w:t>
      </w:r>
      <w:r>
        <w:rPr>
          <w:rFonts w:asciiTheme="majorHAnsi" w:hAnsiTheme="majorHAnsi" w:cs="Arial"/>
          <w:b/>
          <w:bCs/>
          <w:sz w:val="22"/>
          <w:szCs w:val="22"/>
        </w:rPr>
        <w:t xml:space="preserve">  </w:t>
      </w:r>
      <w:r w:rsidRPr="00DD7EEA">
        <w:rPr>
          <w:rFonts w:asciiTheme="majorHAnsi" w:hAnsiTheme="majorHAnsi" w:cs="Arial"/>
          <w:b/>
          <w:bCs/>
          <w:sz w:val="22"/>
          <w:szCs w:val="22"/>
        </w:rPr>
        <w:t>par Omar Bessaoud</w:t>
      </w:r>
    </w:p>
    <w:p w14:paraId="15FEA412" w14:textId="0885DB41" w:rsidR="00DD7EEA" w:rsidRPr="00DB2649" w:rsidRDefault="00E279B0" w:rsidP="00DB2649">
      <w:pPr>
        <w:pStyle w:val="Titre4"/>
        <w:spacing w:before="0"/>
        <w:jc w:val="center"/>
        <w:rPr>
          <w:sz w:val="22"/>
          <w:szCs w:val="22"/>
        </w:rPr>
      </w:pPr>
      <w:r w:rsidRPr="00C1539F">
        <w:rPr>
          <w:color w:val="0000FF"/>
          <w:sz w:val="22"/>
          <w:szCs w:val="22"/>
        </w:rPr>
        <w:t>Date prévue d</w:t>
      </w:r>
      <w:r w:rsidR="00C84FEA">
        <w:rPr>
          <w:color w:val="0000FF"/>
          <w:sz w:val="22"/>
          <w:szCs w:val="22"/>
        </w:rPr>
        <w:t>e</w:t>
      </w:r>
      <w:r w:rsidRPr="00C1539F">
        <w:rPr>
          <w:color w:val="0000FF"/>
          <w:sz w:val="22"/>
          <w:szCs w:val="22"/>
        </w:rPr>
        <w:t xml:space="preserve"> Parution </w:t>
      </w:r>
      <w:r w:rsidRPr="00C1539F">
        <w:rPr>
          <w:b w:val="0"/>
          <w:i w:val="0"/>
          <w:color w:val="0000FF"/>
          <w:sz w:val="22"/>
          <w:szCs w:val="22"/>
        </w:rPr>
        <w:t>:</w:t>
      </w:r>
      <w:r w:rsidRPr="005C1B9C">
        <w:rPr>
          <w:b w:val="0"/>
          <w:i w:val="0"/>
          <w:color w:val="auto"/>
          <w:sz w:val="22"/>
          <w:szCs w:val="22"/>
        </w:rPr>
        <w:t xml:space="preserve"> </w:t>
      </w:r>
      <w:r w:rsidR="005D329C">
        <w:rPr>
          <w:i w:val="0"/>
          <w:color w:val="auto"/>
          <w:sz w:val="22"/>
          <w:szCs w:val="22"/>
        </w:rPr>
        <w:t>28</w:t>
      </w:r>
      <w:r w:rsidRPr="005C1B9C">
        <w:rPr>
          <w:i w:val="0"/>
          <w:color w:val="auto"/>
          <w:sz w:val="22"/>
          <w:szCs w:val="22"/>
        </w:rPr>
        <w:t xml:space="preserve"> </w:t>
      </w:r>
      <w:r w:rsidR="00C501D5">
        <w:rPr>
          <w:i w:val="0"/>
          <w:color w:val="auto"/>
          <w:sz w:val="22"/>
          <w:szCs w:val="22"/>
        </w:rPr>
        <w:t>Octobre</w:t>
      </w:r>
      <w:r w:rsidRPr="005C1B9C">
        <w:rPr>
          <w:i w:val="0"/>
          <w:color w:val="auto"/>
          <w:sz w:val="22"/>
          <w:szCs w:val="22"/>
        </w:rPr>
        <w:t xml:space="preserve"> 2019</w:t>
      </w:r>
    </w:p>
    <w:p w14:paraId="075A4992" w14:textId="24EC3D76" w:rsidR="00563117" w:rsidRDefault="00E279B0" w:rsidP="00E279B0">
      <w:pPr>
        <w:rPr>
          <w:rFonts w:asciiTheme="majorHAnsi" w:eastAsia="Times New Roman" w:hAnsiTheme="majorHAnsi" w:cs="Times New Roman"/>
          <w:b/>
          <w:sz w:val="22"/>
          <w:szCs w:val="22"/>
        </w:rPr>
      </w:pPr>
      <w:r w:rsidRPr="000E541C">
        <w:rPr>
          <w:rFonts w:asciiTheme="majorHAnsi" w:eastAsia="Times New Roman" w:hAnsiTheme="majorHAnsi" w:cs="Times New Roman"/>
          <w:b/>
          <w:sz w:val="22"/>
          <w:szCs w:val="22"/>
        </w:rPr>
        <w:t>Je souscris à la publication : Prix du l</w:t>
      </w:r>
      <w:r w:rsidR="0031500A" w:rsidRPr="000E541C">
        <w:rPr>
          <w:rFonts w:asciiTheme="majorHAnsi" w:eastAsia="Times New Roman" w:hAnsiTheme="majorHAnsi" w:cs="Times New Roman"/>
          <w:b/>
          <w:sz w:val="22"/>
          <w:szCs w:val="22"/>
        </w:rPr>
        <w:t xml:space="preserve">ivre  </w:t>
      </w:r>
      <w:r w:rsidR="00DD7EEA">
        <w:rPr>
          <w:rFonts w:asciiTheme="majorHAnsi" w:eastAsia="Times New Roman" w:hAnsiTheme="majorHAnsi" w:cs="Times New Roman"/>
          <w:b/>
          <w:sz w:val="22"/>
          <w:szCs w:val="22"/>
        </w:rPr>
        <w:t>18,50</w:t>
      </w:r>
      <w:r w:rsidR="0031500A" w:rsidRPr="000E541C">
        <w:rPr>
          <w:rFonts w:asciiTheme="majorHAnsi" w:eastAsia="Times New Roman" w:hAnsiTheme="majorHAnsi" w:cs="Times New Roman"/>
          <w:b/>
          <w:sz w:val="22"/>
          <w:szCs w:val="22"/>
        </w:rPr>
        <w:t xml:space="preserve"> € + frais d’envoi 5</w:t>
      </w:r>
      <w:r w:rsidR="00CC14F8" w:rsidRPr="000E541C">
        <w:rPr>
          <w:rFonts w:asciiTheme="majorHAnsi" w:eastAsia="Times New Roman" w:hAnsiTheme="majorHAnsi" w:cs="Times New Roman"/>
          <w:b/>
          <w:sz w:val="22"/>
          <w:szCs w:val="22"/>
        </w:rPr>
        <w:t>,50</w:t>
      </w:r>
      <w:r w:rsidR="0031500A" w:rsidRPr="000E541C">
        <w:rPr>
          <w:rFonts w:asciiTheme="majorHAnsi" w:eastAsia="Times New Roman" w:hAnsiTheme="majorHAnsi" w:cs="Times New Roman"/>
          <w:b/>
          <w:sz w:val="22"/>
          <w:szCs w:val="22"/>
        </w:rPr>
        <w:t xml:space="preserve"> €   Montant total : 2</w:t>
      </w:r>
      <w:r w:rsidR="00DD7EEA">
        <w:rPr>
          <w:rFonts w:asciiTheme="majorHAnsi" w:eastAsia="Times New Roman" w:hAnsiTheme="majorHAnsi" w:cs="Times New Roman"/>
          <w:b/>
          <w:sz w:val="22"/>
          <w:szCs w:val="22"/>
        </w:rPr>
        <w:t xml:space="preserve">4 </w:t>
      </w:r>
      <w:r w:rsidRPr="000E541C">
        <w:rPr>
          <w:rFonts w:asciiTheme="majorHAnsi" w:eastAsia="Times New Roman" w:hAnsiTheme="majorHAnsi" w:cs="Times New Roman"/>
          <w:b/>
          <w:sz w:val="22"/>
          <w:szCs w:val="22"/>
        </w:rPr>
        <w:t>€</w:t>
      </w:r>
    </w:p>
    <w:p w14:paraId="0243310E" w14:textId="62FD8C2F" w:rsidR="00563117" w:rsidRPr="00DD7EEA" w:rsidRDefault="0053653B" w:rsidP="00E279B0">
      <w:pPr>
        <w:rPr>
          <w:rFonts w:asciiTheme="majorHAnsi" w:eastAsia="Times New Roman" w:hAnsiTheme="majorHAnsi" w:cs="Times New Roman"/>
          <w:b/>
          <w:sz w:val="22"/>
          <w:szCs w:val="22"/>
        </w:rPr>
      </w:pPr>
      <w:r>
        <w:rPr>
          <w:rFonts w:asciiTheme="majorHAnsi" w:eastAsia="Times New Roman" w:hAnsiTheme="majorHAnsi" w:cs="Times New Roman"/>
          <w:b/>
          <w:sz w:val="22"/>
          <w:szCs w:val="22"/>
        </w:rPr>
        <w:t xml:space="preserve">Nbre d’exemplaire : ……………  </w:t>
      </w:r>
      <w:r>
        <w:rPr>
          <w:rFonts w:asciiTheme="majorHAnsi" w:eastAsia="Times New Roman" w:hAnsiTheme="majorHAnsi" w:cs="Times New Roman"/>
          <w:b/>
          <w:sz w:val="22"/>
          <w:szCs w:val="22"/>
        </w:rPr>
        <w:tab/>
      </w:r>
      <w:r>
        <w:rPr>
          <w:rFonts w:asciiTheme="majorHAnsi" w:eastAsia="Times New Roman" w:hAnsiTheme="majorHAnsi" w:cs="Times New Roman"/>
          <w:b/>
          <w:sz w:val="22"/>
          <w:szCs w:val="22"/>
        </w:rPr>
        <w:tab/>
        <w:t>Prix total + Frais d’envoi</w:t>
      </w:r>
      <w:r w:rsidR="00DD7EEA">
        <w:rPr>
          <w:rStyle w:val="Appelnotedebasdep"/>
          <w:rFonts w:asciiTheme="majorHAnsi" w:eastAsia="Times New Roman" w:hAnsiTheme="majorHAnsi" w:cs="Times New Roman"/>
          <w:b/>
          <w:sz w:val="22"/>
          <w:szCs w:val="22"/>
        </w:rPr>
        <w:footnoteReference w:id="1"/>
      </w:r>
      <w:r>
        <w:rPr>
          <w:rFonts w:asciiTheme="majorHAnsi" w:eastAsia="Times New Roman" w:hAnsiTheme="majorHAnsi" w:cs="Times New Roman"/>
          <w:b/>
          <w:sz w:val="22"/>
          <w:szCs w:val="22"/>
        </w:rPr>
        <w:t> : …………….</w:t>
      </w:r>
    </w:p>
    <w:p w14:paraId="0CB216B1" w14:textId="3A4BE656" w:rsidR="00E279B0" w:rsidRPr="000E541C" w:rsidRDefault="00E279B0" w:rsidP="00B05264">
      <w:pPr>
        <w:jc w:val="center"/>
        <w:rPr>
          <w:rFonts w:asciiTheme="majorHAnsi" w:eastAsia="Times New Roman" w:hAnsiTheme="majorHAnsi" w:cs="Times New Roman"/>
          <w:b/>
          <w:sz w:val="22"/>
          <w:szCs w:val="22"/>
        </w:rPr>
      </w:pPr>
      <w:r w:rsidRPr="000E541C">
        <w:rPr>
          <w:rFonts w:asciiTheme="majorHAnsi" w:eastAsia="Times New Roman" w:hAnsiTheme="majorHAnsi" w:cs="Times New Roman"/>
          <w:b/>
          <w:sz w:val="22"/>
          <w:szCs w:val="22"/>
        </w:rPr>
        <w:t xml:space="preserve">Chèque à libeller à l’ordre de : </w:t>
      </w:r>
      <w:r w:rsidR="00C501D5">
        <w:rPr>
          <w:rFonts w:asciiTheme="majorHAnsi" w:eastAsia="Times New Roman" w:hAnsiTheme="majorHAnsi" w:cs="Times New Roman"/>
          <w:b/>
          <w:sz w:val="22"/>
          <w:szCs w:val="22"/>
        </w:rPr>
        <w:t xml:space="preserve"> </w:t>
      </w:r>
      <w:r w:rsidR="00C501D5" w:rsidRPr="00C501D5">
        <w:rPr>
          <w:rStyle w:val="Titre4Car"/>
          <w:i w:val="0"/>
          <w:iCs w:val="0"/>
          <w:color w:val="0000FF"/>
          <w:sz w:val="22"/>
          <w:szCs w:val="22"/>
        </w:rPr>
        <w:t>L</w:t>
      </w:r>
      <w:r w:rsidR="00B05264">
        <w:rPr>
          <w:rFonts w:asciiTheme="majorHAnsi" w:eastAsia="Times New Roman" w:hAnsiTheme="majorHAnsi" w:cs="Times New Roman"/>
          <w:b/>
          <w:color w:val="0000FF"/>
          <w:sz w:val="22"/>
          <w:szCs w:val="22"/>
        </w:rPr>
        <w:t xml:space="preserve">es </w:t>
      </w:r>
      <w:r w:rsidR="00B05264" w:rsidRPr="0053653B">
        <w:rPr>
          <w:rFonts w:asciiTheme="majorHAnsi" w:hAnsiTheme="majorHAnsi" w:cstheme="majorHAnsi"/>
          <w:b/>
          <w:color w:val="0000FF"/>
          <w:sz w:val="22"/>
          <w:szCs w:val="22"/>
        </w:rPr>
        <w:t>É</w:t>
      </w:r>
      <w:r w:rsidRPr="000E541C">
        <w:rPr>
          <w:rFonts w:asciiTheme="majorHAnsi" w:eastAsia="Times New Roman" w:hAnsiTheme="majorHAnsi" w:cs="Times New Roman"/>
          <w:b/>
          <w:color w:val="0000FF"/>
          <w:sz w:val="22"/>
          <w:szCs w:val="22"/>
        </w:rPr>
        <w:t>ditions Qatifa</w:t>
      </w:r>
    </w:p>
    <w:p w14:paraId="2667A52D" w14:textId="77777777" w:rsidR="00E279B0" w:rsidRPr="00DD53F1" w:rsidRDefault="00E279B0" w:rsidP="00E279B0">
      <w:pPr>
        <w:rPr>
          <w:rFonts w:ascii="Times" w:eastAsia="Times New Roman" w:hAnsi="Times" w:cs="Times New Roman"/>
          <w:sz w:val="16"/>
          <w:szCs w:val="16"/>
        </w:rPr>
      </w:pPr>
    </w:p>
    <w:tbl>
      <w:tblPr>
        <w:tblStyle w:val="Grilledutableau"/>
        <w:tblW w:w="0" w:type="auto"/>
        <w:tblInd w:w="392" w:type="dxa"/>
        <w:tblLook w:val="04A0" w:firstRow="1" w:lastRow="0" w:firstColumn="1" w:lastColumn="0" w:noHBand="0" w:noVBand="1"/>
      </w:tblPr>
      <w:tblGrid>
        <w:gridCol w:w="8221"/>
      </w:tblGrid>
      <w:tr w:rsidR="00E279B0" w:rsidRPr="00A9351C" w14:paraId="1C08C0C2" w14:textId="77777777" w:rsidTr="00DD7EEA">
        <w:trPr>
          <w:trHeight w:val="250"/>
        </w:trPr>
        <w:tc>
          <w:tcPr>
            <w:tcW w:w="8221" w:type="dxa"/>
          </w:tcPr>
          <w:p w14:paraId="7138685E" w14:textId="6D0317AD" w:rsidR="00E279B0" w:rsidRPr="0053653B" w:rsidRDefault="00E279B0" w:rsidP="00F21E8F">
            <w:pPr>
              <w:rPr>
                <w:rFonts w:ascii="Arial" w:eastAsia="Times New Roman" w:hAnsi="Arial" w:cs="Arial"/>
                <w:sz w:val="22"/>
                <w:szCs w:val="22"/>
              </w:rPr>
            </w:pPr>
            <w:r w:rsidRPr="0053653B">
              <w:rPr>
                <w:rFonts w:ascii="Arial" w:eastAsia="Times New Roman" w:hAnsi="Arial" w:cs="Arial"/>
                <w:sz w:val="22"/>
                <w:szCs w:val="22"/>
              </w:rPr>
              <w:t>Nom</w:t>
            </w:r>
            <w:r w:rsidR="0053653B" w:rsidRPr="0053653B">
              <w:rPr>
                <w:rFonts w:ascii="Arial" w:eastAsia="Times New Roman" w:hAnsi="Arial" w:cs="Arial"/>
                <w:sz w:val="22"/>
                <w:szCs w:val="22"/>
              </w:rPr>
              <w:t xml:space="preserve"> : </w:t>
            </w:r>
            <w:r w:rsidRPr="0053653B">
              <w:rPr>
                <w:rFonts w:ascii="Arial" w:eastAsia="Times New Roman" w:hAnsi="Arial" w:cs="Arial"/>
                <w:sz w:val="22"/>
                <w:szCs w:val="22"/>
              </w:rPr>
              <w:t xml:space="preserve"> </w:t>
            </w:r>
            <w:r w:rsidR="0053653B" w:rsidRPr="0053653B">
              <w:rPr>
                <w:rFonts w:ascii="Arial" w:eastAsia="Times New Roman" w:hAnsi="Arial" w:cs="Arial"/>
                <w:sz w:val="22"/>
                <w:szCs w:val="22"/>
              </w:rPr>
              <w:t>……………………………….        Prénom : …………………………</w:t>
            </w:r>
          </w:p>
        </w:tc>
      </w:tr>
      <w:tr w:rsidR="00E279B0" w:rsidRPr="00A9351C" w14:paraId="657430B9" w14:textId="77777777" w:rsidTr="00DD7EEA">
        <w:trPr>
          <w:trHeight w:val="268"/>
        </w:trPr>
        <w:tc>
          <w:tcPr>
            <w:tcW w:w="8221" w:type="dxa"/>
          </w:tcPr>
          <w:p w14:paraId="16D78774" w14:textId="0C599EE2" w:rsidR="0053653B" w:rsidRPr="0053653B" w:rsidRDefault="0053653B" w:rsidP="00F21E8F">
            <w:pPr>
              <w:rPr>
                <w:rFonts w:ascii="Arial" w:eastAsia="Times New Roman" w:hAnsi="Arial" w:cs="Arial"/>
                <w:sz w:val="22"/>
                <w:szCs w:val="22"/>
              </w:rPr>
            </w:pPr>
            <w:r w:rsidRPr="0053653B">
              <w:rPr>
                <w:rFonts w:ascii="Arial" w:eastAsia="Times New Roman" w:hAnsi="Arial" w:cs="Arial"/>
                <w:sz w:val="22"/>
                <w:szCs w:val="22"/>
              </w:rPr>
              <w:t>Adresse : ………………………………………………………………………………….</w:t>
            </w:r>
          </w:p>
        </w:tc>
      </w:tr>
      <w:tr w:rsidR="00E279B0" w:rsidRPr="00A9351C" w14:paraId="71176205" w14:textId="77777777" w:rsidTr="00F21E8F">
        <w:tc>
          <w:tcPr>
            <w:tcW w:w="8221" w:type="dxa"/>
          </w:tcPr>
          <w:p w14:paraId="1A3EAA49" w14:textId="39E9B6CF" w:rsidR="00E279B0" w:rsidRPr="00A9351C" w:rsidRDefault="00E279B0" w:rsidP="00F21E8F">
            <w:pPr>
              <w:rPr>
                <w:rFonts w:ascii="Arial" w:eastAsia="Times New Roman" w:hAnsi="Arial" w:cs="Arial"/>
                <w:sz w:val="22"/>
                <w:szCs w:val="22"/>
              </w:rPr>
            </w:pPr>
            <w:r w:rsidRPr="00A9351C">
              <w:rPr>
                <w:rFonts w:ascii="Arial" w:eastAsia="Times New Roman" w:hAnsi="Arial" w:cs="Arial"/>
                <w:sz w:val="22"/>
                <w:szCs w:val="22"/>
              </w:rPr>
              <w:t>Courriel :</w:t>
            </w:r>
            <w:r w:rsidR="0053653B">
              <w:rPr>
                <w:rFonts w:ascii="Arial" w:eastAsia="Times New Roman" w:hAnsi="Arial" w:cs="Arial"/>
                <w:sz w:val="22"/>
                <w:szCs w:val="22"/>
              </w:rPr>
              <w:t xml:space="preserve"> ……………………………………….    Tél : …………………………….</w:t>
            </w:r>
            <w:r w:rsidRPr="00A9351C">
              <w:rPr>
                <w:rFonts w:ascii="Arial" w:eastAsia="Times New Roman" w:hAnsi="Arial" w:cs="Arial"/>
                <w:sz w:val="22"/>
                <w:szCs w:val="22"/>
              </w:rPr>
              <w:t xml:space="preserve"> </w:t>
            </w:r>
          </w:p>
        </w:tc>
      </w:tr>
    </w:tbl>
    <w:p w14:paraId="29B4B6B5" w14:textId="77777777" w:rsidR="00E279B0" w:rsidRPr="00CE2083" w:rsidRDefault="00E279B0" w:rsidP="00E279B0">
      <w:pPr>
        <w:rPr>
          <w:rFonts w:asciiTheme="majorHAnsi" w:eastAsia="Times New Roman" w:hAnsiTheme="majorHAnsi" w:cs="Times New Roman"/>
          <w:sz w:val="18"/>
          <w:szCs w:val="18"/>
        </w:rPr>
      </w:pPr>
    </w:p>
    <w:p w14:paraId="14D20038" w14:textId="64E915F6" w:rsidR="00E279B0" w:rsidRPr="0053653B" w:rsidRDefault="00E279B0" w:rsidP="00DD7EEA">
      <w:pPr>
        <w:ind w:left="-426"/>
        <w:jc w:val="center"/>
        <w:rPr>
          <w:rFonts w:asciiTheme="majorHAnsi" w:eastAsia="Times New Roman" w:hAnsiTheme="majorHAnsi" w:cstheme="majorHAnsi"/>
          <w:b/>
          <w:sz w:val="22"/>
          <w:szCs w:val="22"/>
        </w:rPr>
      </w:pPr>
      <w:bookmarkStart w:id="1" w:name="_GoBack"/>
      <w:r w:rsidRPr="0053653B">
        <w:rPr>
          <w:rFonts w:asciiTheme="majorHAnsi" w:eastAsia="Times New Roman" w:hAnsiTheme="majorHAnsi" w:cstheme="majorHAnsi"/>
          <w:b/>
          <w:sz w:val="22"/>
          <w:szCs w:val="22"/>
        </w:rPr>
        <w:t xml:space="preserve">Le Bulletin de souscription </w:t>
      </w:r>
      <w:r w:rsidR="00563117">
        <w:rPr>
          <w:rFonts w:asciiTheme="majorHAnsi" w:eastAsia="Times New Roman" w:hAnsiTheme="majorHAnsi" w:cstheme="majorHAnsi"/>
          <w:b/>
          <w:sz w:val="22"/>
          <w:szCs w:val="22"/>
        </w:rPr>
        <w:t>doit</w:t>
      </w:r>
      <w:r w:rsidRPr="0053653B">
        <w:rPr>
          <w:rFonts w:asciiTheme="majorHAnsi" w:eastAsia="Times New Roman" w:hAnsiTheme="majorHAnsi" w:cstheme="majorHAnsi"/>
          <w:b/>
          <w:sz w:val="22"/>
          <w:szCs w:val="22"/>
        </w:rPr>
        <w:t xml:space="preserve"> </w:t>
      </w:r>
      <w:r w:rsidRPr="00B05264">
        <w:rPr>
          <w:rFonts w:asciiTheme="majorHAnsi" w:eastAsia="Times New Roman" w:hAnsiTheme="majorHAnsi" w:cstheme="majorHAnsi"/>
          <w:b/>
          <w:sz w:val="22"/>
          <w:szCs w:val="22"/>
        </w:rPr>
        <w:t xml:space="preserve">être </w:t>
      </w:r>
      <w:r w:rsidR="00B05264" w:rsidRPr="00B05264">
        <w:rPr>
          <w:rFonts w:asciiTheme="majorHAnsi" w:eastAsia="Times New Roman" w:hAnsiTheme="majorHAnsi" w:cstheme="majorHAnsi"/>
          <w:b/>
          <w:sz w:val="22"/>
          <w:szCs w:val="22"/>
        </w:rPr>
        <w:t>retourné</w:t>
      </w:r>
      <w:r w:rsidR="00B05264">
        <w:rPr>
          <w:rFonts w:asciiTheme="majorHAnsi" w:eastAsia="Times New Roman" w:hAnsiTheme="majorHAnsi" w:cstheme="majorHAnsi"/>
          <w:b/>
          <w:sz w:val="22"/>
          <w:szCs w:val="22"/>
        </w:rPr>
        <w:t xml:space="preserve">, </w:t>
      </w:r>
      <w:r w:rsidRPr="0053653B">
        <w:rPr>
          <w:rFonts w:asciiTheme="majorHAnsi" w:eastAsia="Times New Roman" w:hAnsiTheme="majorHAnsi" w:cstheme="majorHAnsi"/>
          <w:b/>
          <w:sz w:val="22"/>
          <w:szCs w:val="22"/>
        </w:rPr>
        <w:t>accompagné d’un chèque à l’adresse suivante :</w:t>
      </w:r>
    </w:p>
    <w:p w14:paraId="0E2B1E56" w14:textId="618A194F" w:rsidR="00DD53F1" w:rsidRDefault="00E279B0" w:rsidP="00DD7EEA">
      <w:pPr>
        <w:jc w:val="center"/>
        <w:rPr>
          <w:rFonts w:asciiTheme="majorHAnsi" w:hAnsiTheme="majorHAnsi" w:cstheme="majorHAnsi"/>
          <w:b/>
          <w:color w:val="0000FF"/>
          <w:sz w:val="22"/>
          <w:szCs w:val="22"/>
        </w:rPr>
      </w:pPr>
      <w:r w:rsidRPr="0053653B">
        <w:rPr>
          <w:rFonts w:asciiTheme="majorHAnsi" w:hAnsiTheme="majorHAnsi" w:cstheme="majorHAnsi"/>
          <w:b/>
          <w:color w:val="0000FF"/>
          <w:sz w:val="22"/>
          <w:szCs w:val="22"/>
        </w:rPr>
        <w:t>Les Éditions Qatifa, 10 Allée Christophe Colomb 93130 Noisy-le Sec</w:t>
      </w:r>
    </w:p>
    <w:bookmarkEnd w:id="1"/>
    <w:p w14:paraId="5AEA173B" w14:textId="77777777" w:rsidR="00DD7EEA" w:rsidRPr="00DD53F1" w:rsidRDefault="00DD7EEA" w:rsidP="00B05264">
      <w:pPr>
        <w:jc w:val="both"/>
        <w:rPr>
          <w:rFonts w:asciiTheme="majorHAnsi" w:hAnsiTheme="majorHAnsi" w:cstheme="majorHAnsi"/>
          <w:b/>
          <w:color w:val="0000FF"/>
          <w:sz w:val="22"/>
          <w:szCs w:val="22"/>
        </w:rPr>
      </w:pPr>
    </w:p>
    <w:p w14:paraId="2536B268" w14:textId="0585907D" w:rsidR="00563117" w:rsidRPr="00601B1C" w:rsidRDefault="00E279B0" w:rsidP="00DD7EEA">
      <w:pPr>
        <w:ind w:left="-426"/>
        <w:jc w:val="center"/>
        <w:rPr>
          <w:rFonts w:asciiTheme="majorHAnsi" w:eastAsia="Times New Roman" w:hAnsiTheme="majorHAnsi" w:cstheme="majorHAnsi"/>
          <w:b/>
          <w:color w:val="0000FF"/>
          <w:sz w:val="22"/>
          <w:szCs w:val="22"/>
          <w:u w:val="single"/>
        </w:rPr>
      </w:pPr>
      <w:r w:rsidRPr="0053653B">
        <w:rPr>
          <w:rFonts w:asciiTheme="majorHAnsi" w:hAnsiTheme="majorHAnsi" w:cstheme="majorHAnsi"/>
          <w:b/>
          <w:sz w:val="22"/>
          <w:szCs w:val="22"/>
        </w:rPr>
        <w:t xml:space="preserve">La souscription est </w:t>
      </w:r>
      <w:r w:rsidRPr="00B05264">
        <w:rPr>
          <w:rFonts w:asciiTheme="majorHAnsi" w:hAnsiTheme="majorHAnsi" w:cstheme="majorHAnsi"/>
          <w:b/>
          <w:color w:val="C00000"/>
          <w:sz w:val="22"/>
          <w:szCs w:val="22"/>
        </w:rPr>
        <w:t xml:space="preserve">valable jusqu’au </w:t>
      </w:r>
      <w:r w:rsidR="00DD7EEA">
        <w:rPr>
          <w:rFonts w:asciiTheme="majorHAnsi" w:hAnsiTheme="majorHAnsi" w:cstheme="majorHAnsi"/>
          <w:b/>
          <w:color w:val="C00000"/>
          <w:sz w:val="22"/>
          <w:szCs w:val="22"/>
        </w:rPr>
        <w:t>28</w:t>
      </w:r>
      <w:r w:rsidRPr="00B05264">
        <w:rPr>
          <w:rFonts w:asciiTheme="majorHAnsi" w:hAnsiTheme="majorHAnsi" w:cstheme="majorHAnsi"/>
          <w:b/>
          <w:color w:val="C00000"/>
          <w:sz w:val="22"/>
          <w:szCs w:val="22"/>
        </w:rPr>
        <w:t xml:space="preserve"> Novembre 2019</w:t>
      </w:r>
      <w:r w:rsidRPr="0053653B">
        <w:rPr>
          <w:rFonts w:asciiTheme="majorHAnsi" w:hAnsiTheme="majorHAnsi" w:cstheme="majorHAnsi"/>
          <w:b/>
          <w:sz w:val="22"/>
          <w:szCs w:val="22"/>
        </w:rPr>
        <w:t xml:space="preserve">. </w:t>
      </w:r>
      <w:r w:rsidRPr="0053653B">
        <w:rPr>
          <w:rFonts w:asciiTheme="majorHAnsi" w:eastAsia="Times New Roman" w:hAnsiTheme="majorHAnsi" w:cstheme="majorHAnsi"/>
          <w:b/>
          <w:sz w:val="22"/>
          <w:szCs w:val="22"/>
        </w:rPr>
        <w:t>Après cette</w:t>
      </w:r>
      <w:r w:rsidR="000E541C" w:rsidRPr="0053653B">
        <w:rPr>
          <w:rFonts w:asciiTheme="majorHAnsi" w:eastAsia="Times New Roman" w:hAnsiTheme="majorHAnsi" w:cstheme="majorHAnsi"/>
          <w:b/>
          <w:sz w:val="22"/>
          <w:szCs w:val="22"/>
        </w:rPr>
        <w:t xml:space="preserve"> date, vous pourrez </w:t>
      </w:r>
      <w:r w:rsidRPr="0053653B">
        <w:rPr>
          <w:rFonts w:asciiTheme="majorHAnsi" w:eastAsia="Times New Roman" w:hAnsiTheme="majorHAnsi" w:cstheme="majorHAnsi"/>
          <w:b/>
          <w:sz w:val="22"/>
          <w:szCs w:val="22"/>
        </w:rPr>
        <w:t xml:space="preserve">commander votre livre sur le site des Éditions Qatifa : </w:t>
      </w:r>
      <w:hyperlink r:id="rId8" w:history="1">
        <w:r w:rsidRPr="0053653B">
          <w:rPr>
            <w:rFonts w:asciiTheme="majorHAnsi" w:eastAsia="Times New Roman" w:hAnsiTheme="majorHAnsi" w:cstheme="majorHAnsi"/>
            <w:b/>
            <w:color w:val="0000FF"/>
            <w:sz w:val="22"/>
            <w:szCs w:val="22"/>
            <w:u w:val="single"/>
          </w:rPr>
          <w:t>https://www.editions-qatifa.com/</w:t>
        </w:r>
      </w:hyperlink>
    </w:p>
    <w:sectPr w:rsidR="00563117" w:rsidRPr="00601B1C" w:rsidSect="00DD7EEA">
      <w:type w:val="continuous"/>
      <w:pgSz w:w="11900" w:h="16840"/>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C9A8D" w14:textId="77777777" w:rsidR="00A02EF6" w:rsidRDefault="00A02EF6" w:rsidP="00DD7EEA">
      <w:r>
        <w:separator/>
      </w:r>
    </w:p>
  </w:endnote>
  <w:endnote w:type="continuationSeparator" w:id="0">
    <w:p w14:paraId="5B911DBB" w14:textId="77777777" w:rsidR="00A02EF6" w:rsidRDefault="00A02EF6" w:rsidP="00DD7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00000000"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badi">
    <w:charset w:val="00"/>
    <w:family w:val="swiss"/>
    <w:pitch w:val="variable"/>
    <w:sig w:usb0="8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ABA20E" w14:textId="77777777" w:rsidR="00A02EF6" w:rsidRDefault="00A02EF6" w:rsidP="00DD7EEA">
      <w:r>
        <w:separator/>
      </w:r>
    </w:p>
  </w:footnote>
  <w:footnote w:type="continuationSeparator" w:id="0">
    <w:p w14:paraId="6005B953" w14:textId="77777777" w:rsidR="00A02EF6" w:rsidRDefault="00A02EF6" w:rsidP="00DD7EEA">
      <w:r>
        <w:continuationSeparator/>
      </w:r>
    </w:p>
  </w:footnote>
  <w:footnote w:id="1">
    <w:p w14:paraId="33F7CE7A" w14:textId="34BF63A3" w:rsidR="00DD7EEA" w:rsidRDefault="00DD7EEA">
      <w:pPr>
        <w:pStyle w:val="Notedebasdepage"/>
      </w:pPr>
      <w:r>
        <w:rPr>
          <w:rStyle w:val="Appelnotedebasdep"/>
        </w:rPr>
        <w:footnoteRef/>
      </w:r>
      <w:r>
        <w:t xml:space="preserve"> Pour plus d’un exemplaire un tarif adapté sera appliqué suivant les tarifs des envois postaux.</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9B0"/>
    <w:rsid w:val="000E541C"/>
    <w:rsid w:val="00220E15"/>
    <w:rsid w:val="00276D5D"/>
    <w:rsid w:val="0031500A"/>
    <w:rsid w:val="003A1D72"/>
    <w:rsid w:val="00404F84"/>
    <w:rsid w:val="004647D0"/>
    <w:rsid w:val="0053653B"/>
    <w:rsid w:val="00550346"/>
    <w:rsid w:val="00563117"/>
    <w:rsid w:val="005D329C"/>
    <w:rsid w:val="00601B1C"/>
    <w:rsid w:val="006039F0"/>
    <w:rsid w:val="0086654A"/>
    <w:rsid w:val="00A02EF6"/>
    <w:rsid w:val="00B05264"/>
    <w:rsid w:val="00B4320F"/>
    <w:rsid w:val="00BE552F"/>
    <w:rsid w:val="00C066C4"/>
    <w:rsid w:val="00C46C62"/>
    <w:rsid w:val="00C501D5"/>
    <w:rsid w:val="00C84FEA"/>
    <w:rsid w:val="00C86943"/>
    <w:rsid w:val="00CC14F8"/>
    <w:rsid w:val="00DB2649"/>
    <w:rsid w:val="00DD53F1"/>
    <w:rsid w:val="00DD7EEA"/>
    <w:rsid w:val="00E279B0"/>
    <w:rsid w:val="00ED5245"/>
    <w:rsid w:val="00EE03E1"/>
    <w:rsid w:val="00F1467A"/>
    <w:rsid w:val="00F21E8F"/>
    <w:rsid w:val="00F70FD0"/>
    <w:rsid w:val="00FC66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FDBCEF"/>
  <w14:defaultImageDpi w14:val="300"/>
  <w15:docId w15:val="{6C0F5586-7273-4263-A47E-E4AB45B90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79B0"/>
    <w:rPr>
      <w:lang w:val="fr-FR"/>
    </w:rPr>
  </w:style>
  <w:style w:type="paragraph" w:styleId="Titre3">
    <w:name w:val="heading 3"/>
    <w:basedOn w:val="Normal"/>
    <w:next w:val="Normal"/>
    <w:link w:val="Titre3Car"/>
    <w:uiPriority w:val="9"/>
    <w:unhideWhenUsed/>
    <w:qFormat/>
    <w:rsid w:val="00E279B0"/>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E279B0"/>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E279B0"/>
    <w:rPr>
      <w:rFonts w:asciiTheme="majorHAnsi" w:eastAsiaTheme="majorEastAsia" w:hAnsiTheme="majorHAnsi" w:cstheme="majorBidi"/>
      <w:b/>
      <w:bCs/>
      <w:color w:val="4F81BD" w:themeColor="accent1"/>
      <w:lang w:val="fr-FR"/>
    </w:rPr>
  </w:style>
  <w:style w:type="character" w:customStyle="1" w:styleId="Titre4Car">
    <w:name w:val="Titre 4 Car"/>
    <w:basedOn w:val="Policepardfaut"/>
    <w:link w:val="Titre4"/>
    <w:uiPriority w:val="9"/>
    <w:rsid w:val="00E279B0"/>
    <w:rPr>
      <w:rFonts w:asciiTheme="majorHAnsi" w:eastAsiaTheme="majorEastAsia" w:hAnsiTheme="majorHAnsi" w:cstheme="majorBidi"/>
      <w:b/>
      <w:bCs/>
      <w:i/>
      <w:iCs/>
      <w:color w:val="4F81BD" w:themeColor="accent1"/>
      <w:lang w:val="fr-FR"/>
    </w:rPr>
  </w:style>
  <w:style w:type="table" w:styleId="Grilledutableau">
    <w:name w:val="Table Grid"/>
    <w:basedOn w:val="TableauNormal"/>
    <w:uiPriority w:val="59"/>
    <w:rsid w:val="00E27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E279B0"/>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279B0"/>
    <w:rPr>
      <w:rFonts w:ascii="Lucida Grande" w:hAnsi="Lucida Grande" w:cs="Lucida Grande"/>
      <w:sz w:val="18"/>
      <w:szCs w:val="18"/>
      <w:lang w:val="fr-FR"/>
    </w:rPr>
  </w:style>
  <w:style w:type="paragraph" w:styleId="Notedebasdepage">
    <w:name w:val="footnote text"/>
    <w:basedOn w:val="Normal"/>
    <w:link w:val="NotedebasdepageCar"/>
    <w:uiPriority w:val="99"/>
    <w:semiHidden/>
    <w:unhideWhenUsed/>
    <w:rsid w:val="00DD7EEA"/>
    <w:rPr>
      <w:sz w:val="20"/>
      <w:szCs w:val="20"/>
    </w:rPr>
  </w:style>
  <w:style w:type="character" w:customStyle="1" w:styleId="NotedebasdepageCar">
    <w:name w:val="Note de bas de page Car"/>
    <w:basedOn w:val="Policepardfaut"/>
    <w:link w:val="Notedebasdepage"/>
    <w:uiPriority w:val="99"/>
    <w:semiHidden/>
    <w:rsid w:val="00DD7EEA"/>
    <w:rPr>
      <w:sz w:val="20"/>
      <w:szCs w:val="20"/>
      <w:lang w:val="fr-FR"/>
    </w:rPr>
  </w:style>
  <w:style w:type="character" w:styleId="Appelnotedebasdep">
    <w:name w:val="footnote reference"/>
    <w:basedOn w:val="Policepardfaut"/>
    <w:uiPriority w:val="99"/>
    <w:semiHidden/>
    <w:unhideWhenUsed/>
    <w:rsid w:val="00DD7E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itions-qatifa.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84401-7AEC-40B5-9A47-FC4B73370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588</Words>
  <Characters>3235</Characters>
  <Application>Microsoft Office Word</Application>
  <DocSecurity>0</DocSecurity>
  <Lines>26</Lines>
  <Paragraphs>7</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        Les Éditions Qatifa - Bulletin de souscription / précommande</vt:lpstr>
    </vt:vector>
  </TitlesOfParts>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BOUDI SALAH</dc:creator>
  <cp:keywords/>
  <dc:description/>
  <cp:lastModifiedBy>Charlotte RAVAUX</cp:lastModifiedBy>
  <cp:revision>2</cp:revision>
  <dcterms:created xsi:type="dcterms:W3CDTF">2019-11-01T15:42:00Z</dcterms:created>
  <dcterms:modified xsi:type="dcterms:W3CDTF">2019-11-01T15:42:00Z</dcterms:modified>
</cp:coreProperties>
</file>